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1EC" w:rsidRPr="0076101A" w:rsidRDefault="009F31EC" w:rsidP="009F31EC">
      <w:pPr>
        <w:rPr>
          <w:b/>
          <w:sz w:val="28"/>
          <w:szCs w:val="28"/>
        </w:rPr>
      </w:pPr>
      <w:r w:rsidRPr="0076101A">
        <w:rPr>
          <w:b/>
          <w:sz w:val="28"/>
          <w:szCs w:val="28"/>
        </w:rPr>
        <w:t>LIETUVOS VERSLO ATST</w:t>
      </w:r>
      <w:bookmarkStart w:id="0" w:name="_GoBack"/>
      <w:bookmarkEnd w:id="0"/>
      <w:r w:rsidRPr="0076101A">
        <w:rPr>
          <w:b/>
          <w:sz w:val="28"/>
          <w:szCs w:val="28"/>
        </w:rPr>
        <w:t>OVYBĖ BRIUSE</w:t>
      </w:r>
      <w:r w:rsidR="00385ED2">
        <w:rPr>
          <w:b/>
          <w:sz w:val="28"/>
          <w:szCs w:val="28"/>
        </w:rPr>
        <w:t>L</w:t>
      </w:r>
      <w:r w:rsidRPr="0076101A">
        <w:rPr>
          <w:b/>
          <w:sz w:val="28"/>
          <w:szCs w:val="28"/>
        </w:rPr>
        <w:t>YJE</w:t>
      </w:r>
    </w:p>
    <w:p w:rsidR="000B698B" w:rsidRPr="002E428C" w:rsidRDefault="009F31EC" w:rsidP="009F31EC">
      <w:pPr>
        <w:rPr>
          <w:sz w:val="24"/>
          <w:szCs w:val="24"/>
        </w:rPr>
      </w:pPr>
      <w:r w:rsidRPr="002E428C">
        <w:rPr>
          <w:sz w:val="24"/>
          <w:szCs w:val="24"/>
        </w:rPr>
        <w:t>PRIORITETINIAI KLAUSIMAI</w:t>
      </w:r>
    </w:p>
    <w:p w:rsidR="001445C9" w:rsidRPr="0076101A" w:rsidRDefault="001445C9" w:rsidP="009F31EC"/>
    <w:p w:rsidR="0052751E" w:rsidRPr="0076101A" w:rsidRDefault="0052751E" w:rsidP="009F31EC"/>
    <w:tbl>
      <w:tblPr>
        <w:tblStyle w:val="TableGrid"/>
        <w:tblW w:w="0" w:type="auto"/>
        <w:tblLook w:val="04A0" w:firstRow="1" w:lastRow="0" w:firstColumn="1" w:lastColumn="0" w:noHBand="0" w:noVBand="1"/>
      </w:tblPr>
      <w:tblGrid>
        <w:gridCol w:w="9287"/>
      </w:tblGrid>
      <w:tr w:rsidR="0052751E" w:rsidRPr="0076101A" w:rsidTr="0052751E">
        <w:tc>
          <w:tcPr>
            <w:tcW w:w="9287" w:type="dxa"/>
          </w:tcPr>
          <w:p w:rsidR="0052751E" w:rsidRPr="0076101A" w:rsidRDefault="0052751E" w:rsidP="0052751E">
            <w:pPr>
              <w:rPr>
                <w:b/>
              </w:rPr>
            </w:pPr>
            <w:r w:rsidRPr="0076101A">
              <w:rPr>
                <w:b/>
              </w:rPr>
              <w:t>ETS direktyvos įgyvendinimas</w:t>
            </w:r>
          </w:p>
        </w:tc>
      </w:tr>
    </w:tbl>
    <w:p w:rsidR="0052751E" w:rsidRPr="0076101A" w:rsidRDefault="0052751E" w:rsidP="009F31EC"/>
    <w:p w:rsidR="0052751E" w:rsidRPr="0076101A" w:rsidRDefault="0052751E" w:rsidP="007D5027">
      <w:pPr>
        <w:jc w:val="both"/>
      </w:pPr>
      <w:r w:rsidRPr="0076101A">
        <w:t>2013 m. įsigalios peržiūrėta prekybos emisijo</w:t>
      </w:r>
      <w:r w:rsidR="00A93056" w:rsidRPr="0076101A">
        <w:t>mi</w:t>
      </w:r>
      <w:r w:rsidRPr="0076101A">
        <w:t>s sistemos (ETS) direktyva</w:t>
      </w:r>
      <w:r w:rsidR="00A93056" w:rsidRPr="0076101A">
        <w:t>, reglamentuojanti trečiąjį ETS etapą (2013-2020 m.)</w:t>
      </w:r>
      <w:r w:rsidRPr="0076101A">
        <w:t xml:space="preserve">. </w:t>
      </w:r>
      <w:r w:rsidR="0076101A">
        <w:t>E</w:t>
      </w:r>
      <w:r w:rsidRPr="0076101A">
        <w:t xml:space="preserve">sminiai dėmesio centrai: </w:t>
      </w:r>
    </w:p>
    <w:p w:rsidR="007D5027" w:rsidRPr="0076101A" w:rsidRDefault="007D5027" w:rsidP="007D5027">
      <w:pPr>
        <w:jc w:val="both"/>
      </w:pPr>
    </w:p>
    <w:p w:rsidR="00A93056" w:rsidRPr="0076101A" w:rsidRDefault="00A93056" w:rsidP="00B6122C">
      <w:pPr>
        <w:pStyle w:val="ListParagraph"/>
        <w:numPr>
          <w:ilvl w:val="0"/>
          <w:numId w:val="6"/>
        </w:numPr>
        <w:jc w:val="both"/>
        <w:rPr>
          <w:u w:val="single"/>
        </w:rPr>
      </w:pPr>
      <w:r w:rsidRPr="0076101A">
        <w:rPr>
          <w:b/>
          <w:u w:val="single"/>
        </w:rPr>
        <w:t>Apyvartinių taršos leidimų (ATL) skaičiaus išėmimas iš rinkos, siekiant padidinti ATL kainą</w:t>
      </w:r>
      <w:r w:rsidRPr="0076101A">
        <w:rPr>
          <w:b/>
        </w:rPr>
        <w:t>:</w:t>
      </w:r>
      <w:r w:rsidRPr="0076101A">
        <w:t xml:space="preserve"> </w:t>
      </w:r>
      <w:r w:rsidR="00196A54" w:rsidRPr="0076101A">
        <w:t>Esant itin žemai ATL rinkos kainai,</w:t>
      </w:r>
      <w:r w:rsidR="00F670F6" w:rsidRPr="0076101A">
        <w:t xml:space="preserve"> Komisija ir Europos Parlamentas svarsto galimybę iš rinkos „išimti“ tam tikrą skaičių ATL, siekiant kainos padidinimo. </w:t>
      </w:r>
      <w:r w:rsidR="00B6122C" w:rsidRPr="0076101A">
        <w:t>Lietuvos pramonės o</w:t>
      </w:r>
      <w:r w:rsidR="00F670F6" w:rsidRPr="0076101A">
        <w:t xml:space="preserve">rganizacijos pasisako prieš bet kokį kišimąsi į rinką, siekiant modifikuoti ATL kainą tiesioginėmis ir netiesioginėmis priemonėmis. </w:t>
      </w:r>
    </w:p>
    <w:p w:rsidR="00B6122C" w:rsidRPr="0076101A" w:rsidRDefault="00B6122C" w:rsidP="00B6122C">
      <w:pPr>
        <w:pStyle w:val="ListParagraph"/>
        <w:jc w:val="both"/>
        <w:rPr>
          <w:u w:val="single"/>
        </w:rPr>
      </w:pPr>
    </w:p>
    <w:p w:rsidR="00A93056" w:rsidRPr="0076101A" w:rsidRDefault="00B6122C" w:rsidP="007D5027">
      <w:pPr>
        <w:pStyle w:val="ListParagraph"/>
        <w:numPr>
          <w:ilvl w:val="0"/>
          <w:numId w:val="6"/>
        </w:numPr>
        <w:jc w:val="both"/>
      </w:pPr>
      <w:r w:rsidRPr="0076101A">
        <w:rPr>
          <w:b/>
          <w:u w:val="single"/>
        </w:rPr>
        <w:t>ES įsipareigojimų dėl emisijų mažinimo tikslų stabilumas</w:t>
      </w:r>
      <w:r w:rsidRPr="0076101A">
        <w:rPr>
          <w:b/>
        </w:rPr>
        <w:t>:</w:t>
      </w:r>
      <w:r w:rsidRPr="0076101A">
        <w:t xml:space="preserve"> Lietuvos pramonei svarbu, kad nebūtų keičiami jau sutarti ir teisiškai įtvirtintų emisijų mažinimo tikslai iki 2020 m. (20 proc.). Tikslai neturi būti griežtinami nesant tarptautinės sutarties, įtvirtinančios vienodas veiklos sąlygas</w:t>
      </w:r>
      <w:r w:rsidR="00735B1C">
        <w:t xml:space="preserve"> su trečiosiomis šalimis</w:t>
      </w:r>
      <w:r w:rsidRPr="0076101A">
        <w:t>.</w:t>
      </w:r>
    </w:p>
    <w:p w:rsidR="00B6122C" w:rsidRPr="0076101A" w:rsidRDefault="00B6122C" w:rsidP="00B6122C">
      <w:pPr>
        <w:pStyle w:val="ListParagraph"/>
      </w:pPr>
    </w:p>
    <w:p w:rsidR="0052751E" w:rsidRPr="0076101A" w:rsidRDefault="0052751E" w:rsidP="00B6122C">
      <w:pPr>
        <w:pStyle w:val="ListParagraph"/>
        <w:numPr>
          <w:ilvl w:val="0"/>
          <w:numId w:val="6"/>
        </w:numPr>
        <w:jc w:val="both"/>
      </w:pPr>
      <w:r w:rsidRPr="0076101A">
        <w:rPr>
          <w:b/>
          <w:u w:val="single"/>
        </w:rPr>
        <w:t>Valstybės pagalbos gairių ETS sektoriams patvirtinimas</w:t>
      </w:r>
      <w:r w:rsidRPr="0076101A">
        <w:rPr>
          <w:b/>
        </w:rPr>
        <w:t>:</w:t>
      </w:r>
      <w:r w:rsidRPr="0076101A">
        <w:t xml:space="preserve"> </w:t>
      </w:r>
      <w:r w:rsidR="007D5027" w:rsidRPr="0076101A">
        <w:t>Europos Komisija rengia v</w:t>
      </w:r>
      <w:r w:rsidRPr="0076101A">
        <w:t>alstybės pagalbos gair</w:t>
      </w:r>
      <w:r w:rsidR="00A93056" w:rsidRPr="0076101A">
        <w:t>e</w:t>
      </w:r>
      <w:r w:rsidRPr="0076101A">
        <w:t xml:space="preserve"> </w:t>
      </w:r>
      <w:r w:rsidR="007D5027" w:rsidRPr="0076101A">
        <w:t>ETS sektoriams</w:t>
      </w:r>
      <w:r w:rsidR="00A93056" w:rsidRPr="0076101A">
        <w:t xml:space="preserve">, patiriantiems „CO2 nutekėjimo“ grėsmę dėl didelių </w:t>
      </w:r>
      <w:r w:rsidR="007D5027" w:rsidRPr="0076101A">
        <w:t>netiesiogini</w:t>
      </w:r>
      <w:r w:rsidR="00A93056" w:rsidRPr="0076101A">
        <w:t>ų kaštų, susijusių su</w:t>
      </w:r>
      <w:r w:rsidR="007D5027" w:rsidRPr="0076101A">
        <w:t xml:space="preserve"> elektros kainos augim</w:t>
      </w:r>
      <w:r w:rsidR="00A93056" w:rsidRPr="0076101A">
        <w:t>u. D</w:t>
      </w:r>
      <w:r w:rsidRPr="0076101A">
        <w:t>okument</w:t>
      </w:r>
      <w:r w:rsidR="00A93056" w:rsidRPr="0076101A">
        <w:t>as gali būti</w:t>
      </w:r>
      <w:r w:rsidRPr="0076101A">
        <w:t xml:space="preserve"> skelb</w:t>
      </w:r>
      <w:r w:rsidR="00A93056" w:rsidRPr="0076101A">
        <w:t>iamas</w:t>
      </w:r>
      <w:r w:rsidRPr="0076101A">
        <w:t xml:space="preserve"> gegužės-birželio mėnesiais. Lietuvos verslo organizacijoms svarbu, kad </w:t>
      </w:r>
      <w:r w:rsidR="007D5027" w:rsidRPr="0076101A">
        <w:t>(a)</w:t>
      </w:r>
      <w:r w:rsidRPr="0076101A">
        <w:t xml:space="preserve"> </w:t>
      </w:r>
      <w:r w:rsidR="007D5027" w:rsidRPr="0076101A">
        <w:t xml:space="preserve">į gairių reguliavimo sritį būtų įtraukti tokie cheminių pluoštų ir plastiko sektoriai, kaip PET; (b) kad maksimalus valstybės pagalbos intensyvumas siektų 100 proc. ir būtų </w:t>
      </w:r>
      <w:proofErr w:type="spellStart"/>
      <w:r w:rsidR="007D5027" w:rsidRPr="0076101A">
        <w:t>nedegresyvus</w:t>
      </w:r>
      <w:proofErr w:type="spellEnd"/>
      <w:r w:rsidR="007D5027" w:rsidRPr="0076101A">
        <w:t>; (c)</w:t>
      </w:r>
      <w:r w:rsidRPr="0076101A">
        <w:t xml:space="preserve"> </w:t>
      </w:r>
      <w:r w:rsidR="007D5027" w:rsidRPr="0076101A">
        <w:t>kad referencinis periodas pagalbos dydžio skaičiavimui būtų ne 2008-2011 m. (ekonominio nuosmukio laikotarpis), o 200</w:t>
      </w:r>
      <w:r w:rsidR="00735B1C">
        <w:t>5</w:t>
      </w:r>
      <w:r w:rsidR="007D5027" w:rsidRPr="0076101A">
        <w:t>-200</w:t>
      </w:r>
      <w:r w:rsidR="00735B1C">
        <w:t>7</w:t>
      </w:r>
      <w:r w:rsidR="007D5027" w:rsidRPr="0076101A">
        <w:t xml:space="preserve"> m.</w:t>
      </w:r>
    </w:p>
    <w:p w:rsidR="007D5027" w:rsidRPr="0076101A" w:rsidRDefault="007D5027" w:rsidP="007D5027">
      <w:pPr>
        <w:pStyle w:val="ListParagraph"/>
        <w:ind w:left="1211"/>
        <w:jc w:val="both"/>
      </w:pPr>
    </w:p>
    <w:tbl>
      <w:tblPr>
        <w:tblStyle w:val="TableGrid"/>
        <w:tblW w:w="0" w:type="auto"/>
        <w:tblLook w:val="04A0" w:firstRow="1" w:lastRow="0" w:firstColumn="1" w:lastColumn="0" w:noHBand="0" w:noVBand="1"/>
      </w:tblPr>
      <w:tblGrid>
        <w:gridCol w:w="9287"/>
      </w:tblGrid>
      <w:tr w:rsidR="00B6122C" w:rsidRPr="0076101A" w:rsidTr="00B6122C">
        <w:tc>
          <w:tcPr>
            <w:tcW w:w="9287" w:type="dxa"/>
          </w:tcPr>
          <w:p w:rsidR="00B6122C" w:rsidRPr="0076101A" w:rsidRDefault="00B6122C" w:rsidP="00B6122C">
            <w:pPr>
              <w:jc w:val="both"/>
              <w:rPr>
                <w:b/>
              </w:rPr>
            </w:pPr>
            <w:r w:rsidRPr="0076101A">
              <w:rPr>
                <w:b/>
              </w:rPr>
              <w:t>Efektyvaus energijos vartojimo direktyvos priėmimas</w:t>
            </w:r>
          </w:p>
        </w:tc>
      </w:tr>
    </w:tbl>
    <w:p w:rsidR="0052751E" w:rsidRPr="0076101A" w:rsidRDefault="0052751E" w:rsidP="00B6122C">
      <w:pPr>
        <w:jc w:val="both"/>
      </w:pPr>
    </w:p>
    <w:p w:rsidR="004E6ADC" w:rsidRPr="0076101A" w:rsidRDefault="00B6122C" w:rsidP="00B6122C">
      <w:pPr>
        <w:pStyle w:val="ListParagraph"/>
        <w:numPr>
          <w:ilvl w:val="0"/>
          <w:numId w:val="7"/>
        </w:numPr>
        <w:jc w:val="both"/>
      </w:pPr>
      <w:r w:rsidRPr="0076101A">
        <w:t xml:space="preserve">ES Taryba ir Europos Parlamentas svarsto Komisijos pasiūlymą dėl Efektyvaus energijos vartojimo direktyvos. Parlamento Pramonės komitetas (ITRE) </w:t>
      </w:r>
      <w:r w:rsidR="004E6ADC" w:rsidRPr="0076101A">
        <w:t xml:space="preserve">patvirtino pasiūlymus nustatyti privalomas energijos efektyvumo schemas energijos tiekėjams, privalomus absoliučius energijos taupymo tikslus ir energijos efektyvumo auditus didelėms įmonėms. </w:t>
      </w:r>
    </w:p>
    <w:p w:rsidR="004E6ADC" w:rsidRPr="0076101A" w:rsidRDefault="004E6ADC" w:rsidP="004E6ADC">
      <w:pPr>
        <w:pStyle w:val="ListParagraph"/>
        <w:jc w:val="both"/>
      </w:pPr>
    </w:p>
    <w:p w:rsidR="00B6122C" w:rsidRPr="0076101A" w:rsidRDefault="004E6ADC" w:rsidP="00B6122C">
      <w:pPr>
        <w:pStyle w:val="ListParagraph"/>
        <w:numPr>
          <w:ilvl w:val="0"/>
          <w:numId w:val="7"/>
        </w:numPr>
        <w:jc w:val="both"/>
      </w:pPr>
      <w:r w:rsidRPr="0076101A">
        <w:t>Lietuvos įmonėms svarbu užtikrinti šių priemonių taikymo lankstumą. Direktyva neturi riboti energijos vartojimo, neturi ardyti laisvanoriškai įmonėse taikomų schemų, apriboti laisvę pasirinkti efektyviausias priemones ir mažinti konkurencingumą. Asociacijos pasisako prieš komiteto siūlymą iš ETS rinkos „išimti“ tam tikrą ATL skaičių, siekiant pakelti leidimų kainą ETS rinkoje.</w:t>
      </w:r>
    </w:p>
    <w:p w:rsidR="004E6ADC" w:rsidRPr="0076101A" w:rsidRDefault="004E6ADC" w:rsidP="004E6ADC">
      <w:pPr>
        <w:jc w:val="both"/>
      </w:pPr>
    </w:p>
    <w:tbl>
      <w:tblPr>
        <w:tblStyle w:val="TableGrid"/>
        <w:tblW w:w="0" w:type="auto"/>
        <w:tblLook w:val="04A0" w:firstRow="1" w:lastRow="0" w:firstColumn="1" w:lastColumn="0" w:noHBand="0" w:noVBand="1"/>
      </w:tblPr>
      <w:tblGrid>
        <w:gridCol w:w="9287"/>
      </w:tblGrid>
      <w:tr w:rsidR="004E6ADC" w:rsidRPr="0076101A" w:rsidTr="004E6ADC">
        <w:tc>
          <w:tcPr>
            <w:tcW w:w="9287" w:type="dxa"/>
          </w:tcPr>
          <w:p w:rsidR="004E6ADC" w:rsidRPr="0076101A" w:rsidRDefault="004E6ADC" w:rsidP="00F670F6">
            <w:pPr>
              <w:rPr>
                <w:b/>
              </w:rPr>
            </w:pPr>
            <w:r w:rsidRPr="0076101A">
              <w:rPr>
                <w:b/>
              </w:rPr>
              <w:t>Sieros jūriniame kure direktyvos peržiūra</w:t>
            </w:r>
          </w:p>
        </w:tc>
      </w:tr>
    </w:tbl>
    <w:p w:rsidR="00F670F6" w:rsidRPr="0076101A" w:rsidRDefault="00F670F6" w:rsidP="00525855">
      <w:pPr>
        <w:jc w:val="both"/>
      </w:pPr>
    </w:p>
    <w:p w:rsidR="00525855" w:rsidRPr="0076101A" w:rsidRDefault="004E6ADC" w:rsidP="00CF5090">
      <w:pPr>
        <w:pStyle w:val="ListParagraph"/>
        <w:numPr>
          <w:ilvl w:val="0"/>
          <w:numId w:val="9"/>
        </w:numPr>
        <w:jc w:val="both"/>
      </w:pPr>
      <w:r w:rsidRPr="0076101A">
        <w:t xml:space="preserve">Europos </w:t>
      </w:r>
      <w:r w:rsidR="00525855" w:rsidRPr="0076101A">
        <w:t xml:space="preserve">Parlamentas ir Taryba svarsto Sieros jūriniame kure direktyvos 1999/32/EC pakeitimų projektą, kuriuo siekiama sumažinti leistiną sieros kiekį jūriniame kure laivams Baltijos jūroje, Šiaurės jūroje ir Anglijos kanale (nuo 1 proc. iki 0,1 proc. nuo 2015 m.). Prognozuojama, kad </w:t>
      </w:r>
      <w:proofErr w:type="spellStart"/>
      <w:r w:rsidR="00525855" w:rsidRPr="0076101A">
        <w:t>mažasierio</w:t>
      </w:r>
      <w:proofErr w:type="spellEnd"/>
      <w:r w:rsidR="00525855" w:rsidRPr="0076101A">
        <w:t xml:space="preserve"> kuro kainai išaugus 60-70 proc., transportavimo laivais kaina augs 30-50 proc. Nuo to nukentėtų laivų savininkai</w:t>
      </w:r>
      <w:r w:rsidR="00BA495D" w:rsidRPr="0076101A">
        <w:t>,</w:t>
      </w:r>
      <w:r w:rsidR="00525855" w:rsidRPr="0076101A">
        <w:t xml:space="preserve"> transportą naudojančios į eksportą orientuotos pramonės šakos, tarp kurių – chemijos, medienos, metalų ir kt. Liepos mėn. numatomas balsavimas Parlamento plenariniame posėdyje. </w:t>
      </w:r>
    </w:p>
    <w:p w:rsidR="00BA495D" w:rsidRPr="0076101A" w:rsidRDefault="00BA495D" w:rsidP="00BA495D">
      <w:pPr>
        <w:pStyle w:val="ListParagraph"/>
        <w:jc w:val="both"/>
      </w:pPr>
    </w:p>
    <w:p w:rsidR="00BA495D" w:rsidRPr="0076101A" w:rsidRDefault="00BA495D" w:rsidP="00BA495D">
      <w:pPr>
        <w:pStyle w:val="ListParagraph"/>
        <w:numPr>
          <w:ilvl w:val="0"/>
          <w:numId w:val="9"/>
        </w:numPr>
        <w:jc w:val="both"/>
      </w:pPr>
      <w:r w:rsidRPr="0076101A">
        <w:t>Lietuvos laivų savininkai ir pramonės atstovai</w:t>
      </w:r>
      <w:r w:rsidR="00AD0A24" w:rsidRPr="0076101A">
        <w:t xml:space="preserve"> (ir Briuselyje suburta organizacijų koalicija)</w:t>
      </w:r>
      <w:r w:rsidRPr="0076101A">
        <w:t xml:space="preserve"> yra įsitikinę, kad įmonėms reikia daugiau laiko naujų kuro sieringumo reikalavimų įgyvendinimui – technologijų plėtrai ir jų plačiam praktiniam panaudojimui. Todėl organizacijos pasisako už 2015 m. sieros ribinių verčių įgyvendinimo termino atidėjimą. Būtina užtikrinti, kad institucijų sprendimai padėtų sušvelninti 0.1 proc. įgyvendinimų padarinius (Komisija turi stebėti situaciją ir esant reikalui imtis priemonių; įtvirtinti </w:t>
      </w:r>
      <w:proofErr w:type="spellStart"/>
      <w:r w:rsidRPr="0076101A">
        <w:t>mažasierio</w:t>
      </w:r>
      <w:proofErr w:type="spellEnd"/>
      <w:r w:rsidRPr="0076101A">
        <w:t xml:space="preserve"> kuro prieinamumo sąlygą; pritaikyti valstybės pagalbos gaires; užtikrinti finansinių priemonių veikimą).   </w:t>
      </w:r>
    </w:p>
    <w:p w:rsidR="00525855" w:rsidRPr="0076101A" w:rsidRDefault="00525855" w:rsidP="00F670F6"/>
    <w:tbl>
      <w:tblPr>
        <w:tblStyle w:val="TableGrid"/>
        <w:tblW w:w="0" w:type="auto"/>
        <w:tblLook w:val="04A0" w:firstRow="1" w:lastRow="0" w:firstColumn="1" w:lastColumn="0" w:noHBand="0" w:noVBand="1"/>
      </w:tblPr>
      <w:tblGrid>
        <w:gridCol w:w="9287"/>
      </w:tblGrid>
      <w:tr w:rsidR="004B39E7" w:rsidRPr="0076101A" w:rsidTr="004B39E7">
        <w:tc>
          <w:tcPr>
            <w:tcW w:w="9287" w:type="dxa"/>
          </w:tcPr>
          <w:p w:rsidR="004B39E7" w:rsidRPr="0076101A" w:rsidRDefault="004B39E7" w:rsidP="00F670F6">
            <w:pPr>
              <w:rPr>
                <w:b/>
              </w:rPr>
            </w:pPr>
            <w:r w:rsidRPr="0076101A">
              <w:rPr>
                <w:b/>
              </w:rPr>
              <w:t>Kobalto druskų įtraukimas į REACH autorizuojamų medžiagų sąrašą</w:t>
            </w:r>
          </w:p>
        </w:tc>
      </w:tr>
    </w:tbl>
    <w:p w:rsidR="004E6ADC" w:rsidRPr="0076101A" w:rsidRDefault="004E6ADC" w:rsidP="00F670F6"/>
    <w:p w:rsidR="004B39E7" w:rsidRPr="0076101A" w:rsidRDefault="004B39E7" w:rsidP="004B39E7">
      <w:pPr>
        <w:pStyle w:val="ListParagraph"/>
        <w:numPr>
          <w:ilvl w:val="0"/>
          <w:numId w:val="11"/>
        </w:numPr>
        <w:jc w:val="both"/>
      </w:pPr>
      <w:r w:rsidRPr="0076101A">
        <w:t xml:space="preserve">Europos cheminių medžiagų agentūra (ECHA) rekomenduoja Europos Komisijai kobalto druskas, tarp kurių – kobalto (II) acetatas, įtraukti į sąrašą autorizuojamų medžiagų, kurių tiekimas į rinką yra apmokestinamas, įvedami naudojimo apribojimai. </w:t>
      </w:r>
      <w:r w:rsidR="00AD0A24" w:rsidRPr="0076101A">
        <w:t xml:space="preserve">Klausimą svarstys </w:t>
      </w:r>
      <w:proofErr w:type="spellStart"/>
      <w:r w:rsidR="00AD0A24" w:rsidRPr="0076101A">
        <w:t>komitologijos</w:t>
      </w:r>
      <w:proofErr w:type="spellEnd"/>
      <w:r w:rsidR="00AD0A24" w:rsidRPr="0076101A">
        <w:t xml:space="preserve"> REACH komitetas (balsavimas birželio mėn.); vėliau sprendimą vertins Europos Parlamentas ir Taryba. </w:t>
      </w:r>
    </w:p>
    <w:p w:rsidR="00AD0A24" w:rsidRPr="0076101A" w:rsidRDefault="00AD0A24" w:rsidP="00AD0A24">
      <w:pPr>
        <w:pStyle w:val="ListParagraph"/>
        <w:jc w:val="both"/>
      </w:pPr>
    </w:p>
    <w:p w:rsidR="00AD0A24" w:rsidRPr="0076101A" w:rsidRDefault="00AD0A24" w:rsidP="00AD0A24">
      <w:pPr>
        <w:pStyle w:val="ListParagraph"/>
        <w:numPr>
          <w:ilvl w:val="0"/>
          <w:numId w:val="11"/>
        </w:numPr>
        <w:jc w:val="both"/>
      </w:pPr>
      <w:r w:rsidRPr="0076101A">
        <w:t xml:space="preserve">Kaip katalizatorius, medžiaga yra svarbi PET gamintojams. Subūrus ES valstybių ir europinių asociacijų koaliciją, siekiama sprendimo priėmimo nukėlimo arba ECHA rekomendacijos pakeitimo. Pastangos grindžiamos dviejų lygių argumentacija: (a) specifiniais, kobalto druskų savybes ir panaudojimą atspindinčiais argumentais ir (b) argumentais, plačiai atskleidžiančiais REACH proceso ydingumą ir prieštaringumą (poveikio vertinimo ECHA lygmenyje nebuvimas, rizikos valdymo priemonės pasirinkimas, prieštaravimas Gerojo reguliavimo direktyvai, prieštaravimas ES strateginių žaliavų politikai ir </w:t>
      </w:r>
      <w:proofErr w:type="spellStart"/>
      <w:r w:rsidRPr="0076101A">
        <w:t>kt</w:t>
      </w:r>
      <w:proofErr w:type="spellEnd"/>
      <w:r w:rsidRPr="0076101A">
        <w:t xml:space="preserve">). </w:t>
      </w:r>
    </w:p>
    <w:p w:rsidR="0052751E" w:rsidRPr="0076101A" w:rsidRDefault="0052751E" w:rsidP="009F31EC"/>
    <w:tbl>
      <w:tblPr>
        <w:tblStyle w:val="TableGrid"/>
        <w:tblW w:w="0" w:type="auto"/>
        <w:tblLook w:val="04A0" w:firstRow="1" w:lastRow="0" w:firstColumn="1" w:lastColumn="0" w:noHBand="0" w:noVBand="1"/>
      </w:tblPr>
      <w:tblGrid>
        <w:gridCol w:w="9287"/>
      </w:tblGrid>
      <w:tr w:rsidR="004B39E7" w:rsidRPr="0076101A" w:rsidTr="004B39E7">
        <w:tc>
          <w:tcPr>
            <w:tcW w:w="9287" w:type="dxa"/>
          </w:tcPr>
          <w:p w:rsidR="004B39E7" w:rsidRPr="0076101A" w:rsidRDefault="004B39E7" w:rsidP="009F31EC">
            <w:pPr>
              <w:rPr>
                <w:b/>
              </w:rPr>
            </w:pPr>
            <w:r w:rsidRPr="0076101A">
              <w:rPr>
                <w:b/>
              </w:rPr>
              <w:t>Energetikos produktų apmokestinimo direktyvos peržiūra</w:t>
            </w:r>
          </w:p>
        </w:tc>
      </w:tr>
    </w:tbl>
    <w:p w:rsidR="0052751E" w:rsidRPr="0076101A" w:rsidRDefault="0052751E" w:rsidP="009F31EC"/>
    <w:p w:rsidR="00AD0A24" w:rsidRPr="0076101A" w:rsidRDefault="00AD0A24" w:rsidP="00F146DB">
      <w:pPr>
        <w:pStyle w:val="ListParagraph"/>
        <w:numPr>
          <w:ilvl w:val="0"/>
          <w:numId w:val="13"/>
        </w:numPr>
        <w:jc w:val="both"/>
      </w:pPr>
      <w:r w:rsidRPr="0076101A">
        <w:t>Europos Komisija paskelbė Energetikos produktų apmokestinimo direktyvos peržiūr</w:t>
      </w:r>
      <w:r w:rsidR="00735B1C">
        <w:t>ą</w:t>
      </w:r>
      <w:r w:rsidRPr="0076101A">
        <w:t xml:space="preserve">, kuria siekiama </w:t>
      </w:r>
      <w:r w:rsidRPr="0076101A">
        <w:rPr>
          <w:rFonts w:cstheme="minorHAnsi"/>
        </w:rPr>
        <w:t>minimalų mokesčio tarifą išskirti į dvi dalis: viena būtų pagrįsta energetikos produkto išmetamo CO2 kiekiu ir būtų fiksuota; kita būtų pagrįsta energetine verte, t.y. faktine produkto gen</w:t>
      </w:r>
      <w:r w:rsidR="00735B1C">
        <w:rPr>
          <w:rFonts w:cstheme="minorHAnsi"/>
        </w:rPr>
        <w:t xml:space="preserve">eruojama energija </w:t>
      </w:r>
      <w:proofErr w:type="spellStart"/>
      <w:r w:rsidR="00735B1C">
        <w:rPr>
          <w:rFonts w:cstheme="minorHAnsi"/>
        </w:rPr>
        <w:t>gigadžauliais</w:t>
      </w:r>
      <w:proofErr w:type="spellEnd"/>
      <w:r w:rsidRPr="0076101A">
        <w:rPr>
          <w:rFonts w:cstheme="minorHAnsi"/>
        </w:rPr>
        <w:t>. Tai būtų taikoma visų rūšių kurui, kuris naudojamas transporto ir šildymo reikmėms</w:t>
      </w:r>
      <w:r w:rsidR="00F146DB" w:rsidRPr="0076101A">
        <w:rPr>
          <w:rFonts w:cstheme="minorHAnsi"/>
        </w:rPr>
        <w:t>.</w:t>
      </w:r>
      <w:r w:rsidR="00F146DB" w:rsidRPr="0076101A">
        <w:rPr>
          <w:rFonts w:eastAsia="Times New Roman" w:cstheme="minorHAnsi"/>
          <w:snapToGrid w:val="0"/>
          <w:lang w:eastAsia="en-GB"/>
        </w:rPr>
        <w:t xml:space="preserve"> Po svarstymo Parlamente, sprendimą priims Tarybą. Sprendimas gali</w:t>
      </w:r>
      <w:r w:rsidR="00F146DB" w:rsidRPr="0076101A">
        <w:rPr>
          <w:rFonts w:cstheme="minorHAnsi"/>
        </w:rPr>
        <w:t xml:space="preserve"> įsigalioti 2013 m., nustačius ilgus pereinamuosius laikotarpius energetinės vertės apmokestinimui visiškai suderinti (iki 2023 m.), paliekama laiko pramonei</w:t>
      </w:r>
      <w:r w:rsidR="00F146DB" w:rsidRPr="0076101A">
        <w:t xml:space="preserve"> prisitaikyti prie naujos apmokestinimo struktūros. Lietuvos verslo organizacijos daugiausia dėmesio skiria energijos mokesčio poveikiui dyzeliniam kurui. </w:t>
      </w:r>
    </w:p>
    <w:p w:rsidR="00F146DB" w:rsidRPr="0076101A" w:rsidRDefault="00F146DB" w:rsidP="00F146DB">
      <w:pPr>
        <w:jc w:val="both"/>
      </w:pPr>
    </w:p>
    <w:tbl>
      <w:tblPr>
        <w:tblStyle w:val="TableGrid"/>
        <w:tblW w:w="0" w:type="auto"/>
        <w:tblLook w:val="04A0" w:firstRow="1" w:lastRow="0" w:firstColumn="1" w:lastColumn="0" w:noHBand="0" w:noVBand="1"/>
      </w:tblPr>
      <w:tblGrid>
        <w:gridCol w:w="9287"/>
      </w:tblGrid>
      <w:tr w:rsidR="00F146DB" w:rsidRPr="0076101A" w:rsidTr="00F146DB">
        <w:tc>
          <w:tcPr>
            <w:tcW w:w="9287" w:type="dxa"/>
          </w:tcPr>
          <w:p w:rsidR="00F146DB" w:rsidRPr="0076101A" w:rsidRDefault="00F146DB" w:rsidP="00F146DB">
            <w:pPr>
              <w:jc w:val="both"/>
              <w:rPr>
                <w:b/>
              </w:rPr>
            </w:pPr>
            <w:r w:rsidRPr="0076101A">
              <w:rPr>
                <w:b/>
              </w:rPr>
              <w:t>Tabako kontrolės direktyvos peržiūra</w:t>
            </w:r>
          </w:p>
        </w:tc>
      </w:tr>
    </w:tbl>
    <w:p w:rsidR="00F146DB" w:rsidRPr="0076101A" w:rsidRDefault="00F146DB" w:rsidP="00F146DB">
      <w:pPr>
        <w:jc w:val="both"/>
      </w:pPr>
    </w:p>
    <w:p w:rsidR="00F146DB" w:rsidRPr="0076101A" w:rsidRDefault="00F146DB" w:rsidP="0037263A">
      <w:pPr>
        <w:pStyle w:val="ListParagraph"/>
        <w:numPr>
          <w:ilvl w:val="0"/>
          <w:numId w:val="13"/>
        </w:numPr>
        <w:jc w:val="both"/>
      </w:pPr>
      <w:r w:rsidRPr="0076101A">
        <w:t>Europos Komisija planuoja</w:t>
      </w:r>
      <w:r w:rsidR="0037263A" w:rsidRPr="0076101A">
        <w:t xml:space="preserve"> pateikti pasiūlymą dėl</w:t>
      </w:r>
      <w:r w:rsidRPr="0076101A">
        <w:t xml:space="preserve"> Tabako produktų </w:t>
      </w:r>
      <w:r w:rsidR="0037263A" w:rsidRPr="0076101A">
        <w:t>direktyvos (2001/37/EC) peržiūros, siūlant įtvirtinti neproporcingai griežtus tabako produktų ženklinimo, įpakavimo, reklamos, pardavimo ir sudėties reikalavimus. Galimas nepalankiausias šio sektoriaus įmonėms pasiūlymas - privalomas paprastų (neišsiskiriančių/vienspalvių) pakuočių naudojim</w:t>
      </w:r>
      <w:r w:rsidR="00735B1C">
        <w:t>as</w:t>
      </w:r>
      <w:r w:rsidR="0037263A" w:rsidRPr="0076101A">
        <w:t xml:space="preserve"> (</w:t>
      </w:r>
      <w:proofErr w:type="spellStart"/>
      <w:r w:rsidR="0037263A" w:rsidRPr="0076101A">
        <w:rPr>
          <w:i/>
        </w:rPr>
        <w:t>plain</w:t>
      </w:r>
      <w:proofErr w:type="spellEnd"/>
      <w:r w:rsidR="0037263A" w:rsidRPr="0076101A">
        <w:rPr>
          <w:i/>
        </w:rPr>
        <w:t xml:space="preserve"> </w:t>
      </w:r>
      <w:proofErr w:type="spellStart"/>
      <w:r w:rsidR="0037263A" w:rsidRPr="0076101A">
        <w:rPr>
          <w:i/>
        </w:rPr>
        <w:t>packaging</w:t>
      </w:r>
      <w:proofErr w:type="spellEnd"/>
      <w:r w:rsidR="0037263A" w:rsidRPr="0076101A">
        <w:t xml:space="preserve">). </w:t>
      </w:r>
    </w:p>
    <w:p w:rsidR="00F146DB" w:rsidRPr="0076101A" w:rsidRDefault="00F146DB" w:rsidP="00F146DB">
      <w:pPr>
        <w:jc w:val="both"/>
      </w:pPr>
    </w:p>
    <w:p w:rsidR="00F146DB" w:rsidRPr="0076101A" w:rsidRDefault="0037263A" w:rsidP="0037263A">
      <w:pPr>
        <w:pStyle w:val="ListParagraph"/>
        <w:numPr>
          <w:ilvl w:val="0"/>
          <w:numId w:val="13"/>
        </w:numPr>
        <w:jc w:val="both"/>
      </w:pPr>
      <w:r w:rsidRPr="0076101A">
        <w:t>Atstovybė siekia, kad BUSINESSEUROPE aktyviai įsitrauktų pramonės interesų šioje srityje atstovavimą horizontaliais aspektais. Nuo šių metų pradžios po BUSINESSEUROPE skėčiu susibūrė 15 nacionalinių organizacijų ir tabako kompanijų grupė, kuri šiuo klausimu aktyviau bendradarbiaus tarpusavyje ir su BUSINESSEUROPE, organizuojant komunikaciją su Komisija ir būsimą kampaniją Parlamente.</w:t>
      </w:r>
    </w:p>
    <w:p w:rsidR="0037263A" w:rsidRPr="0076101A" w:rsidRDefault="0037263A" w:rsidP="0037263A">
      <w:pPr>
        <w:pStyle w:val="ListParagraph"/>
      </w:pPr>
    </w:p>
    <w:tbl>
      <w:tblPr>
        <w:tblStyle w:val="TableGrid"/>
        <w:tblW w:w="0" w:type="auto"/>
        <w:tblLook w:val="04A0" w:firstRow="1" w:lastRow="0" w:firstColumn="1" w:lastColumn="0" w:noHBand="0" w:noVBand="1"/>
      </w:tblPr>
      <w:tblGrid>
        <w:gridCol w:w="9287"/>
      </w:tblGrid>
      <w:tr w:rsidR="00F146DB" w:rsidRPr="0076101A" w:rsidTr="00F146DB">
        <w:tc>
          <w:tcPr>
            <w:tcW w:w="9287" w:type="dxa"/>
          </w:tcPr>
          <w:p w:rsidR="00F146DB" w:rsidRPr="0076101A" w:rsidRDefault="00F146DB" w:rsidP="00F146DB">
            <w:pPr>
              <w:jc w:val="both"/>
              <w:rPr>
                <w:b/>
              </w:rPr>
            </w:pPr>
            <w:r w:rsidRPr="0076101A">
              <w:rPr>
                <w:b/>
              </w:rPr>
              <w:lastRenderedPageBreak/>
              <w:t xml:space="preserve">Ekonominiai santykiai su Rusija ir Baltarusija </w:t>
            </w:r>
          </w:p>
        </w:tc>
      </w:tr>
    </w:tbl>
    <w:p w:rsidR="0037263A" w:rsidRPr="0076101A" w:rsidRDefault="0037263A" w:rsidP="0037263A">
      <w:pPr>
        <w:jc w:val="both"/>
      </w:pPr>
    </w:p>
    <w:p w:rsidR="004E4DD2" w:rsidRPr="0076101A" w:rsidRDefault="004E4DD2" w:rsidP="004E4DD2">
      <w:pPr>
        <w:pStyle w:val="ListParagraph"/>
        <w:numPr>
          <w:ilvl w:val="0"/>
          <w:numId w:val="16"/>
        </w:numPr>
        <w:jc w:val="both"/>
      </w:pPr>
      <w:r w:rsidRPr="0076101A">
        <w:t xml:space="preserve">Atstovybė informuoja ir įtakoja europinių organizacijų komunikaciją ES-Baltarusijos santykių klausimų. ES sankcijų rengimų ir skelbimo metu siekiama pademonstruoti Lietuvos-Baltarusijos ekonominių ryšių glaudumą ir galimą ekonominį sankcijų poveikį šalies pramonei. Bendrų pastangų dėka, vasario mėn. BUSINESSEUROPE laišku kreipėsi į ES aukščiausią įgaliotinę užsienio politikos klausimais </w:t>
      </w:r>
      <w:proofErr w:type="spellStart"/>
      <w:r w:rsidRPr="0076101A">
        <w:t>C.Ashton</w:t>
      </w:r>
      <w:proofErr w:type="spellEnd"/>
      <w:r w:rsidRPr="0076101A">
        <w:t xml:space="preserve"> ir Prekybos komisarą C.De </w:t>
      </w:r>
      <w:proofErr w:type="spellStart"/>
      <w:r w:rsidRPr="0076101A">
        <w:t>Guchtą</w:t>
      </w:r>
      <w:proofErr w:type="spellEnd"/>
      <w:r w:rsidRPr="0076101A">
        <w:t>, kuriame išdėstė poziciją į ES sankcijų planavimo ir skelbimo mechanizmą (laiške atkreipiamas dėmesys į konsultacijų su verslu būtinybę, planuojamų sankcijų poveikio vertinimą, ypač valstybėms, susijusioms glaudžiais istoriniais/ekonominiais ryšiais ir kt.).</w:t>
      </w:r>
    </w:p>
    <w:p w:rsidR="004E4DD2" w:rsidRPr="0076101A" w:rsidRDefault="004E4DD2" w:rsidP="004E4DD2">
      <w:pPr>
        <w:pStyle w:val="ListParagraph"/>
        <w:jc w:val="both"/>
      </w:pPr>
    </w:p>
    <w:p w:rsidR="0037263A" w:rsidRPr="0076101A" w:rsidRDefault="004E4DD2" w:rsidP="004E4DD2">
      <w:pPr>
        <w:pStyle w:val="ListParagraph"/>
        <w:numPr>
          <w:ilvl w:val="0"/>
          <w:numId w:val="16"/>
        </w:numPr>
        <w:jc w:val="both"/>
      </w:pPr>
      <w:r w:rsidRPr="0076101A">
        <w:t>Atstovybė informuoja Lietuvos verslo organizacijas apie ES institucijų veiklą ES-Rusijos santykių klausimais (Rusijos narystė PPO ir jos vertinimas, derybos dėl Rusijos-ES sutarties</w:t>
      </w:r>
      <w:r w:rsidR="00321592" w:rsidRPr="0076101A">
        <w:t>, Rusijos-Baltarusijos-Kazachstano muitų sąjungos funkcionavimas)</w:t>
      </w:r>
      <w:r w:rsidRPr="0076101A">
        <w:t xml:space="preserve">; įtakoja europinių organizacijų komunikaciją šiais klausimais.  </w:t>
      </w:r>
    </w:p>
    <w:p w:rsidR="00341778" w:rsidRDefault="00341778" w:rsidP="0037263A">
      <w:pPr>
        <w:jc w:val="both"/>
      </w:pPr>
    </w:p>
    <w:tbl>
      <w:tblPr>
        <w:tblStyle w:val="TableGrid"/>
        <w:tblW w:w="0" w:type="auto"/>
        <w:tblLook w:val="04A0" w:firstRow="1" w:lastRow="0" w:firstColumn="1" w:lastColumn="0" w:noHBand="0" w:noVBand="1"/>
      </w:tblPr>
      <w:tblGrid>
        <w:gridCol w:w="9287"/>
      </w:tblGrid>
      <w:tr w:rsidR="00DC73AB" w:rsidTr="00DC73AB">
        <w:tc>
          <w:tcPr>
            <w:tcW w:w="9287" w:type="dxa"/>
          </w:tcPr>
          <w:p w:rsidR="00DC73AB" w:rsidRPr="00DC73AB" w:rsidRDefault="00DC73AB" w:rsidP="0037263A">
            <w:pPr>
              <w:jc w:val="both"/>
              <w:rPr>
                <w:b/>
              </w:rPr>
            </w:pPr>
            <w:r w:rsidRPr="00DC73AB">
              <w:rPr>
                <w:b/>
              </w:rPr>
              <w:t>Pasirengimas verslo organizacijų veiklai Lietuvos pirmininkavimo ES Tarybai metu</w:t>
            </w:r>
          </w:p>
        </w:tc>
      </w:tr>
    </w:tbl>
    <w:p w:rsidR="00DC73AB" w:rsidRDefault="00DC73AB" w:rsidP="0037263A">
      <w:pPr>
        <w:jc w:val="both"/>
      </w:pPr>
    </w:p>
    <w:p w:rsidR="00DC73AB" w:rsidRDefault="00DC73AB" w:rsidP="0037263A">
      <w:pPr>
        <w:pStyle w:val="ListParagraph"/>
        <w:numPr>
          <w:ilvl w:val="0"/>
          <w:numId w:val="21"/>
        </w:numPr>
        <w:jc w:val="both"/>
      </w:pPr>
      <w:r>
        <w:t>Atstovybė renka pirmininkavusių valstybių verslo organizacijų veiklos pirmininkavimo ES Tarybai metu geruosius pavyzdžius (prioritetų formavimas, renginiai sostinėse ir Briuselyje, įmonių dalyvavimas remiant pirmininkavimo renginius</w:t>
      </w:r>
      <w:r w:rsidR="002B7675">
        <w:t xml:space="preserve"> ir pristatant Lietuvos pramonę delegacijų vizitų šalyje metu</w:t>
      </w:r>
      <w:r>
        <w:t xml:space="preserve">, kt.); </w:t>
      </w:r>
      <w:r w:rsidR="002B7675">
        <w:t xml:space="preserve">planuoja pirmininkavimui skirtus renginius (pvz. Europos pramonės konfederacijų prezidentų susitikimą Vilniuje, 2013 m. lapkričio mėn.); didina verslo organizacijų informuotumą apie ES institucijų funkcionavimą, sprendimų priėmimą, santykius su atskiromis institucijomis ir pirmininkavimo teikiamas galimybes; rengia pranešimus Lietuvos institucijų tarnautojams pasirengimo pirmininkavimui skirtuose mokymuose. </w:t>
      </w:r>
    </w:p>
    <w:p w:rsidR="00DC73AB" w:rsidRPr="0076101A" w:rsidRDefault="00DC73AB" w:rsidP="0037263A">
      <w:pPr>
        <w:jc w:val="both"/>
      </w:pPr>
    </w:p>
    <w:p w:rsidR="00341778" w:rsidRPr="0076101A" w:rsidRDefault="00341778" w:rsidP="0037263A">
      <w:pPr>
        <w:jc w:val="both"/>
      </w:pPr>
    </w:p>
    <w:tbl>
      <w:tblPr>
        <w:tblStyle w:val="TableGrid"/>
        <w:tblW w:w="0" w:type="auto"/>
        <w:tblLook w:val="04A0" w:firstRow="1" w:lastRow="0" w:firstColumn="1" w:lastColumn="0" w:noHBand="0" w:noVBand="1"/>
      </w:tblPr>
      <w:tblGrid>
        <w:gridCol w:w="9287"/>
      </w:tblGrid>
      <w:tr w:rsidR="0037263A" w:rsidRPr="0076101A" w:rsidTr="0037263A">
        <w:tc>
          <w:tcPr>
            <w:tcW w:w="9287" w:type="dxa"/>
          </w:tcPr>
          <w:p w:rsidR="0037263A" w:rsidRPr="0076101A" w:rsidRDefault="0037263A" w:rsidP="0037263A">
            <w:pPr>
              <w:jc w:val="both"/>
              <w:rPr>
                <w:b/>
              </w:rPr>
            </w:pPr>
            <w:r w:rsidRPr="0076101A">
              <w:rPr>
                <w:b/>
              </w:rPr>
              <w:t>Kiti papildomi klausimai, kurie buvo prioritetai 20</w:t>
            </w:r>
            <w:r w:rsidR="006149F9" w:rsidRPr="0076101A">
              <w:rPr>
                <w:b/>
              </w:rPr>
              <w:t>11 m.</w:t>
            </w:r>
          </w:p>
        </w:tc>
      </w:tr>
    </w:tbl>
    <w:p w:rsidR="0037263A" w:rsidRPr="0076101A" w:rsidRDefault="0037263A" w:rsidP="0037263A">
      <w:pPr>
        <w:jc w:val="both"/>
      </w:pPr>
    </w:p>
    <w:p w:rsidR="00735B1C" w:rsidRPr="0076101A" w:rsidRDefault="00735B1C" w:rsidP="00735B1C">
      <w:pPr>
        <w:pStyle w:val="ListParagraph"/>
        <w:numPr>
          <w:ilvl w:val="0"/>
          <w:numId w:val="17"/>
        </w:numPr>
        <w:jc w:val="both"/>
      </w:pPr>
      <w:r w:rsidRPr="0076101A">
        <w:t xml:space="preserve">Energetika: „energetinių salų“ eliminavimas, užtikrinant finansavimą prioritetiniams dujų ir elektros jungčių projektams. </w:t>
      </w:r>
    </w:p>
    <w:p w:rsidR="00321592" w:rsidRPr="0076101A" w:rsidRDefault="00321592" w:rsidP="00321592">
      <w:pPr>
        <w:pStyle w:val="ListParagraph"/>
        <w:numPr>
          <w:ilvl w:val="0"/>
          <w:numId w:val="17"/>
        </w:numPr>
        <w:jc w:val="both"/>
      </w:pPr>
      <w:r w:rsidRPr="0076101A">
        <w:t>Komisijos pasiūlymas dėl Bendros konsoliduotos pelno mokesčio bazės (CCCTB);</w:t>
      </w:r>
    </w:p>
    <w:p w:rsidR="00321592" w:rsidRPr="0076101A" w:rsidRDefault="00321592" w:rsidP="00321592">
      <w:pPr>
        <w:pStyle w:val="ListParagraph"/>
        <w:numPr>
          <w:ilvl w:val="0"/>
          <w:numId w:val="17"/>
        </w:numPr>
        <w:jc w:val="both"/>
      </w:pPr>
      <w:r w:rsidRPr="0076101A">
        <w:t>Prekybinio sektoriaus reguliavimas (prekybinių antkainių reguliavim</w:t>
      </w:r>
      <w:r w:rsidR="00735B1C">
        <w:t xml:space="preserve">as it kitų apribojimų nustatymas; </w:t>
      </w:r>
      <w:r w:rsidRPr="0076101A">
        <w:t xml:space="preserve"> Rytų ir Vidurio Europos Prekybos įmonių Tarybos steigimas);</w:t>
      </w:r>
    </w:p>
    <w:p w:rsidR="00321592" w:rsidRPr="0076101A" w:rsidRDefault="00321592" w:rsidP="00321592">
      <w:pPr>
        <w:pStyle w:val="ListParagraph"/>
        <w:numPr>
          <w:ilvl w:val="0"/>
          <w:numId w:val="17"/>
        </w:numPr>
        <w:jc w:val="both"/>
      </w:pPr>
      <w:r w:rsidRPr="0076101A">
        <w:t>Europinių socialinių partnerių derybos dėl Darbo laiko direktyvos peržiūros;</w:t>
      </w:r>
    </w:p>
    <w:p w:rsidR="00321592" w:rsidRPr="0076101A" w:rsidRDefault="00321592" w:rsidP="00321592">
      <w:pPr>
        <w:pStyle w:val="ListParagraph"/>
        <w:numPr>
          <w:ilvl w:val="0"/>
          <w:numId w:val="17"/>
        </w:numPr>
        <w:jc w:val="both"/>
      </w:pPr>
      <w:r w:rsidRPr="0076101A">
        <w:t>Derybos dėl ES laisvos perkybos sutarties su Indija (</w:t>
      </w:r>
      <w:proofErr w:type="spellStart"/>
      <w:r w:rsidRPr="0076101A">
        <w:t>surimio</w:t>
      </w:r>
      <w:proofErr w:type="spellEnd"/>
      <w:r w:rsidRPr="0076101A">
        <w:t xml:space="preserve"> klausimas);</w:t>
      </w:r>
    </w:p>
    <w:p w:rsidR="00321592" w:rsidRPr="0076101A" w:rsidRDefault="00321592" w:rsidP="00321592">
      <w:pPr>
        <w:pStyle w:val="ListParagraph"/>
        <w:numPr>
          <w:ilvl w:val="0"/>
          <w:numId w:val="17"/>
        </w:numPr>
        <w:jc w:val="both"/>
      </w:pPr>
      <w:r w:rsidRPr="0076101A">
        <w:t>Direktyva dėl Kvalifikuotų darbuotojų laikino perkėlimo bendrovių viduje tvarkos;</w:t>
      </w:r>
    </w:p>
    <w:p w:rsidR="00321592" w:rsidRPr="0076101A" w:rsidRDefault="00341778" w:rsidP="00321592">
      <w:pPr>
        <w:pStyle w:val="ListParagraph"/>
        <w:numPr>
          <w:ilvl w:val="0"/>
          <w:numId w:val="17"/>
        </w:numPr>
        <w:jc w:val="both"/>
      </w:pPr>
      <w:r w:rsidRPr="0076101A">
        <w:t xml:space="preserve">Paslaugų direktyvos įgyvendinimas (PSC funkcionavimas). </w:t>
      </w:r>
      <w:r w:rsidR="00321592" w:rsidRPr="0076101A">
        <w:t xml:space="preserve"> </w:t>
      </w:r>
    </w:p>
    <w:p w:rsidR="0046595C" w:rsidRPr="0076101A" w:rsidRDefault="0046595C" w:rsidP="0046595C">
      <w:pPr>
        <w:pStyle w:val="ListParagraph"/>
        <w:numPr>
          <w:ilvl w:val="0"/>
          <w:numId w:val="17"/>
        </w:numPr>
        <w:jc w:val="both"/>
      </w:pPr>
      <w:r w:rsidRPr="0076101A">
        <w:t xml:space="preserve">Atsakymai į asociacijų ir įmonių paklausimus / konsultacijos (pvz. finansavimo šaltiniai energetikos efektyvumo gerinimo technologinių investicijų projektams; finansavimo šaltiniai uosto </w:t>
      </w:r>
      <w:proofErr w:type="spellStart"/>
      <w:r w:rsidRPr="0076101A">
        <w:t>suprastruktūros</w:t>
      </w:r>
      <w:proofErr w:type="spellEnd"/>
      <w:r w:rsidRPr="0076101A">
        <w:t xml:space="preserve"> projektams; darbo rinkos reformos ES šalyse</w:t>
      </w:r>
      <w:r w:rsidR="004D2DCF" w:rsidRPr="0076101A">
        <w:t>; valstybės pagalbos gairių laivų statybos sektoriui peržiūra</w:t>
      </w:r>
      <w:r w:rsidR="00735B1C">
        <w:t>;</w:t>
      </w:r>
      <w:r w:rsidR="004D2DCF" w:rsidRPr="0076101A">
        <w:t xml:space="preserve"> </w:t>
      </w:r>
      <w:r w:rsidRPr="0076101A">
        <w:t>kt.)</w:t>
      </w:r>
      <w:r w:rsidR="00FF6859">
        <w:t>.</w:t>
      </w:r>
    </w:p>
    <w:sectPr w:rsidR="0046595C" w:rsidRPr="0076101A" w:rsidSect="0010075C">
      <w:headerReference w:type="default" r:id="rId8"/>
      <w:pgSz w:w="11906" w:h="16838"/>
      <w:pgMar w:top="1701" w:right="1134"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C7C" w:rsidRDefault="00DD6C7C" w:rsidP="009F31EC">
      <w:r>
        <w:separator/>
      </w:r>
    </w:p>
  </w:endnote>
  <w:endnote w:type="continuationSeparator" w:id="0">
    <w:p w:rsidR="00DD6C7C" w:rsidRDefault="00DD6C7C" w:rsidP="009F3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C7C" w:rsidRDefault="00DD6C7C" w:rsidP="009F31EC">
      <w:r>
        <w:separator/>
      </w:r>
    </w:p>
  </w:footnote>
  <w:footnote w:type="continuationSeparator" w:id="0">
    <w:p w:rsidR="00DD6C7C" w:rsidRDefault="00DD6C7C" w:rsidP="009F31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1EC" w:rsidRDefault="009F31EC">
    <w:pPr>
      <w:pStyle w:val="Header"/>
    </w:pPr>
    <w:r>
      <w:rPr>
        <w:noProof/>
        <w:lang w:eastAsia="lt-LT"/>
      </w:rPr>
      <mc:AlternateContent>
        <mc:Choice Requires="wps">
          <w:drawing>
            <wp:anchor distT="0" distB="0" distL="114300" distR="114300" simplePos="0" relativeHeight="251660288" behindDoc="0" locked="0" layoutInCell="0" allowOverlap="1" wp14:anchorId="6A6B6CE7" wp14:editId="363DCEF5">
              <wp:simplePos x="0" y="0"/>
              <wp:positionH relativeFrom="margin">
                <wp:align>left</wp:align>
              </wp:positionH>
              <wp:positionV relativeFrom="topMargin">
                <wp:align>center</wp:align>
              </wp:positionV>
              <wp:extent cx="5943600" cy="170815"/>
              <wp:effectExtent l="0" t="0" r="0" b="1905"/>
              <wp:wrapNone/>
              <wp:docPr id="47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31EC" w:rsidRPr="009F31EC" w:rsidRDefault="009F31EC">
                          <w:pPr>
                            <w:jc w:val="right"/>
                            <w:rPr>
                              <w:color w:val="1F497D" w:themeColor="text2"/>
                            </w:rPr>
                          </w:pPr>
                          <w:r w:rsidRPr="009F31EC">
                            <w:rPr>
                              <w:color w:val="1F497D" w:themeColor="text2"/>
                            </w:rPr>
                            <w:t xml:space="preserve">Lietuvos verslo atstovybė Briuselyje </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5"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" o:allowincell="f" filled="f" stroked="f">
              <v:textbox style="mso-fit-shape-to-text:t" inset=",0,,0">
                <w:txbxContent>
                  <w:p w:rsidR="009F31EC" w:rsidRPr="009F31EC" w:rsidRDefault="009F31EC">
                    <w:pPr>
                      <w:jc w:val="right"/>
                      <w:rPr>
                        <w:color w:val="1F497D" w:themeColor="text2"/>
                      </w:rPr>
                    </w:pPr>
                    <w:r w:rsidRPr="009F31EC">
                      <w:rPr>
                        <w:color w:val="1F497D" w:themeColor="text2"/>
                      </w:rPr>
                      <w:t xml:space="preserve">Lietuvos verslo atstovybė Briuselyje </w:t>
                    </w:r>
                  </w:p>
                </w:txbxContent>
              </v:textbox>
              <w10:wrap anchorx="margin" anchory="margin"/>
            </v:shape>
          </w:pict>
        </mc:Fallback>
      </mc:AlternateContent>
    </w:r>
    <w:r>
      <w:rPr>
        <w:noProof/>
        <w:lang w:eastAsia="lt-LT"/>
      </w:rPr>
      <mc:AlternateContent>
        <mc:Choice Requires="wps">
          <w:drawing>
            <wp:anchor distT="0" distB="0" distL="114300" distR="114300" simplePos="0" relativeHeight="251659264" behindDoc="0" locked="0" layoutInCell="0" allowOverlap="1" wp14:anchorId="7C395C33" wp14:editId="3F931081">
              <wp:simplePos x="0" y="0"/>
              <wp:positionH relativeFrom="page">
                <wp:align>right</wp:align>
              </wp:positionH>
              <wp:positionV relativeFrom="topMargin">
                <wp:align>center</wp:align>
              </wp:positionV>
              <wp:extent cx="914400" cy="170815"/>
              <wp:effectExtent l="0" t="0" r="0" b="0"/>
              <wp:wrapNone/>
              <wp:docPr id="47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a:extLst/>
                    </wps:spPr>
                    <wps:txbx>
                      <w:txbxContent>
                        <w:p w:rsidR="009F31EC" w:rsidRDefault="009F31EC">
                          <w:pPr>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2E428C" w:rsidRPr="002E428C">
                            <w:rPr>
                              <w:noProof/>
                              <w:color w:val="FFFFFF" w:themeColor="background1"/>
                              <w14:numForm w14:val="lining"/>
                            </w:rPr>
                            <w:t>3</w:t>
                          </w:r>
                          <w:r>
                            <w:rPr>
                              <w:noProof/>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6" o:spid="_x0000_s1027" type="#_x0000_t202" style="position:absolute;margin-left:20.8pt;margin-top:0;width:1in;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" o:allowincell="f" fillcolor="#4f81bd [3204]" stroked="f">
              <v:textbox style="mso-fit-shape-to-text:t" inset=",0,,0">
                <w:txbxContent>
                  <w:p w:rsidR="009F31EC" w:rsidRDefault="009F31EC">
                    <w:pPr>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2E428C" w:rsidRPr="002E428C">
                      <w:rPr>
                        <w:noProof/>
                        <w:color w:val="FFFFFF" w:themeColor="background1"/>
                        <w14:numForm w14:val="lining"/>
                      </w:rPr>
                      <w:t>3</w:t>
                    </w:r>
                    <w:r>
                      <w:rPr>
                        <w:noProof/>
                        <w:color w:val="FFFFFF" w:themeColor="background1"/>
                        <w14:numForm w14:val="lining"/>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15F8A"/>
    <w:multiLevelType w:val="hybridMultilevel"/>
    <w:tmpl w:val="EFE82CC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17821C71"/>
    <w:multiLevelType w:val="hybridMultilevel"/>
    <w:tmpl w:val="C62659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21184099"/>
    <w:multiLevelType w:val="hybridMultilevel"/>
    <w:tmpl w:val="1C4A8DF8"/>
    <w:lvl w:ilvl="0" w:tplc="04270001">
      <w:start w:val="1"/>
      <w:numFmt w:val="bullet"/>
      <w:lvlText w:val=""/>
      <w:lvlJc w:val="left"/>
      <w:pPr>
        <w:ind w:left="360" w:hanging="360"/>
      </w:pPr>
      <w:rPr>
        <w:rFonts w:ascii="Symbol" w:hAnsi="Symbol" w:hint="default"/>
      </w:rPr>
    </w:lvl>
    <w:lvl w:ilvl="1" w:tplc="04270003">
      <w:start w:val="1"/>
      <w:numFmt w:val="bullet"/>
      <w:lvlText w:val="o"/>
      <w:lvlJc w:val="left"/>
      <w:pPr>
        <w:ind w:left="786" w:hanging="360"/>
      </w:pPr>
      <w:rPr>
        <w:rFonts w:ascii="Courier New" w:hAnsi="Courier New" w:cs="Courier New" w:hint="default"/>
      </w:rPr>
    </w:lvl>
    <w:lvl w:ilvl="2" w:tplc="04270005">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
    <w:nsid w:val="21C363D3"/>
    <w:multiLevelType w:val="hybridMultilevel"/>
    <w:tmpl w:val="C25608F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269D1A11"/>
    <w:multiLevelType w:val="hybridMultilevel"/>
    <w:tmpl w:val="952E916A"/>
    <w:lvl w:ilvl="0" w:tplc="04270005">
      <w:start w:val="1"/>
      <w:numFmt w:val="bullet"/>
      <w:lvlText w:val=""/>
      <w:lvlJc w:val="left"/>
      <w:pPr>
        <w:ind w:left="360" w:hanging="360"/>
      </w:pPr>
      <w:rPr>
        <w:rFonts w:ascii="Wingdings" w:hAnsi="Wingdings" w:hint="default"/>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hint="default"/>
      </w:rPr>
    </w:lvl>
    <w:lvl w:ilvl="3" w:tplc="0427000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5">
    <w:nsid w:val="27826ED7"/>
    <w:multiLevelType w:val="hybridMultilevel"/>
    <w:tmpl w:val="182EF6A2"/>
    <w:lvl w:ilvl="0" w:tplc="0427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A8033B"/>
    <w:multiLevelType w:val="hybridMultilevel"/>
    <w:tmpl w:val="D5522982"/>
    <w:lvl w:ilvl="0" w:tplc="04270005">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7">
    <w:nsid w:val="3D5C3049"/>
    <w:multiLevelType w:val="hybridMultilevel"/>
    <w:tmpl w:val="5412A2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413A1459"/>
    <w:multiLevelType w:val="hybridMultilevel"/>
    <w:tmpl w:val="A0F4228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9">
    <w:nsid w:val="55376AE2"/>
    <w:multiLevelType w:val="hybridMultilevel"/>
    <w:tmpl w:val="3A6806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56C34117"/>
    <w:multiLevelType w:val="hybridMultilevel"/>
    <w:tmpl w:val="9C8C2D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589A52FE"/>
    <w:multiLevelType w:val="hybridMultilevel"/>
    <w:tmpl w:val="27B488D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5E1B744B"/>
    <w:multiLevelType w:val="hybridMultilevel"/>
    <w:tmpl w:val="936CFA9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start w:val="1"/>
      <w:numFmt w:val="bullet"/>
      <w:lvlText w:val=""/>
      <w:lvlJc w:val="left"/>
      <w:pPr>
        <w:ind w:left="660" w:hanging="360"/>
      </w:pPr>
      <w:rPr>
        <w:rFonts w:ascii="Symbol" w:hAnsi="Symbol" w:hint="default"/>
      </w:rPr>
    </w:lvl>
    <w:lvl w:ilvl="4" w:tplc="04270003">
      <w:start w:val="1"/>
      <w:numFmt w:val="bullet"/>
      <w:lvlText w:val="o"/>
      <w:lvlJc w:val="left"/>
      <w:pPr>
        <w:ind w:left="36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5EB211C5"/>
    <w:multiLevelType w:val="hybridMultilevel"/>
    <w:tmpl w:val="D7BCD8B0"/>
    <w:lvl w:ilvl="0" w:tplc="04270005">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4">
    <w:nsid w:val="64BD6A7D"/>
    <w:multiLevelType w:val="hybridMultilevel"/>
    <w:tmpl w:val="9E50F022"/>
    <w:lvl w:ilvl="0" w:tplc="EDDCA010">
      <w:numFmt w:val="bullet"/>
      <w:lvlText w:val=""/>
      <w:lvlJc w:val="left"/>
      <w:pPr>
        <w:ind w:left="360" w:hanging="360"/>
      </w:pPr>
      <w:rPr>
        <w:rFonts w:ascii="Wingdings" w:eastAsiaTheme="minorHAnsi" w:hAnsi="Wingdings" w:cstheme="minorBidi"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5">
    <w:nsid w:val="6C5D03C9"/>
    <w:multiLevelType w:val="hybridMultilevel"/>
    <w:tmpl w:val="0FCC6F8C"/>
    <w:lvl w:ilvl="0" w:tplc="EDDCA010">
      <w:numFmt w:val="bullet"/>
      <w:lvlText w:val=""/>
      <w:lvlJc w:val="left"/>
      <w:pPr>
        <w:ind w:left="360" w:hanging="360"/>
      </w:pPr>
      <w:rPr>
        <w:rFonts w:ascii="Wingdings" w:eastAsiaTheme="minorHAnsi" w:hAnsi="Wingdings" w:cstheme="minorBidi"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6">
    <w:nsid w:val="6D2F7ED1"/>
    <w:multiLevelType w:val="hybridMultilevel"/>
    <w:tmpl w:val="C302A0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nsid w:val="738D44E5"/>
    <w:multiLevelType w:val="hybridMultilevel"/>
    <w:tmpl w:val="AFCCD80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nsid w:val="758C4F82"/>
    <w:multiLevelType w:val="hybridMultilevel"/>
    <w:tmpl w:val="025865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nsid w:val="77676C98"/>
    <w:multiLevelType w:val="hybridMultilevel"/>
    <w:tmpl w:val="AA727C78"/>
    <w:lvl w:ilvl="0" w:tplc="04270001">
      <w:start w:val="1"/>
      <w:numFmt w:val="bullet"/>
      <w:lvlText w:val=""/>
      <w:lvlJc w:val="left"/>
      <w:pPr>
        <w:ind w:left="810" w:hanging="360"/>
      </w:pPr>
      <w:rPr>
        <w:rFonts w:ascii="Symbol" w:hAnsi="Symbol" w:hint="default"/>
      </w:rPr>
    </w:lvl>
    <w:lvl w:ilvl="1" w:tplc="04270003">
      <w:start w:val="1"/>
      <w:numFmt w:val="bullet"/>
      <w:lvlText w:val="o"/>
      <w:lvlJc w:val="left"/>
      <w:pPr>
        <w:ind w:left="1530" w:hanging="360"/>
      </w:pPr>
      <w:rPr>
        <w:rFonts w:ascii="Courier New" w:hAnsi="Courier New" w:cs="Courier New" w:hint="default"/>
      </w:rPr>
    </w:lvl>
    <w:lvl w:ilvl="2" w:tplc="04270005">
      <w:start w:val="1"/>
      <w:numFmt w:val="bullet"/>
      <w:lvlText w:val=""/>
      <w:lvlJc w:val="left"/>
      <w:pPr>
        <w:ind w:left="2250" w:hanging="360"/>
      </w:pPr>
      <w:rPr>
        <w:rFonts w:ascii="Wingdings" w:hAnsi="Wingdings" w:hint="default"/>
      </w:rPr>
    </w:lvl>
    <w:lvl w:ilvl="3" w:tplc="04270001">
      <w:start w:val="1"/>
      <w:numFmt w:val="bullet"/>
      <w:lvlText w:val=""/>
      <w:lvlJc w:val="left"/>
      <w:pPr>
        <w:ind w:left="2970" w:hanging="360"/>
      </w:pPr>
      <w:rPr>
        <w:rFonts w:ascii="Symbol" w:hAnsi="Symbol" w:hint="default"/>
      </w:rPr>
    </w:lvl>
    <w:lvl w:ilvl="4" w:tplc="04270003">
      <w:start w:val="1"/>
      <w:numFmt w:val="bullet"/>
      <w:lvlText w:val="o"/>
      <w:lvlJc w:val="left"/>
      <w:pPr>
        <w:ind w:left="3690" w:hanging="360"/>
      </w:pPr>
      <w:rPr>
        <w:rFonts w:ascii="Courier New" w:hAnsi="Courier New" w:cs="Courier New" w:hint="default"/>
      </w:rPr>
    </w:lvl>
    <w:lvl w:ilvl="5" w:tplc="04270005">
      <w:start w:val="1"/>
      <w:numFmt w:val="bullet"/>
      <w:lvlText w:val=""/>
      <w:lvlJc w:val="left"/>
      <w:pPr>
        <w:ind w:left="4410" w:hanging="360"/>
      </w:pPr>
      <w:rPr>
        <w:rFonts w:ascii="Wingdings" w:hAnsi="Wingdings" w:hint="default"/>
      </w:rPr>
    </w:lvl>
    <w:lvl w:ilvl="6" w:tplc="04270001">
      <w:start w:val="1"/>
      <w:numFmt w:val="bullet"/>
      <w:lvlText w:val=""/>
      <w:lvlJc w:val="left"/>
      <w:pPr>
        <w:ind w:left="5130" w:hanging="360"/>
      </w:pPr>
      <w:rPr>
        <w:rFonts w:ascii="Symbol" w:hAnsi="Symbol" w:hint="default"/>
      </w:rPr>
    </w:lvl>
    <w:lvl w:ilvl="7" w:tplc="04270003">
      <w:start w:val="1"/>
      <w:numFmt w:val="bullet"/>
      <w:lvlText w:val="o"/>
      <w:lvlJc w:val="left"/>
      <w:pPr>
        <w:ind w:left="5850" w:hanging="360"/>
      </w:pPr>
      <w:rPr>
        <w:rFonts w:ascii="Courier New" w:hAnsi="Courier New" w:cs="Courier New" w:hint="default"/>
      </w:rPr>
    </w:lvl>
    <w:lvl w:ilvl="8" w:tplc="04270005">
      <w:start w:val="1"/>
      <w:numFmt w:val="bullet"/>
      <w:lvlText w:val=""/>
      <w:lvlJc w:val="left"/>
      <w:pPr>
        <w:ind w:left="6570" w:hanging="360"/>
      </w:pPr>
      <w:rPr>
        <w:rFonts w:ascii="Wingdings" w:hAnsi="Wingdings" w:hint="default"/>
      </w:rPr>
    </w:lvl>
  </w:abstractNum>
  <w:abstractNum w:abstractNumId="20">
    <w:nsid w:val="7E74033F"/>
    <w:multiLevelType w:val="hybridMultilevel"/>
    <w:tmpl w:val="661847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12"/>
  </w:num>
  <w:num w:numId="4">
    <w:abstractNumId w:val="19"/>
  </w:num>
  <w:num w:numId="5">
    <w:abstractNumId w:val="4"/>
  </w:num>
  <w:num w:numId="6">
    <w:abstractNumId w:val="18"/>
  </w:num>
  <w:num w:numId="7">
    <w:abstractNumId w:val="0"/>
  </w:num>
  <w:num w:numId="8">
    <w:abstractNumId w:val="14"/>
  </w:num>
  <w:num w:numId="9">
    <w:abstractNumId w:val="16"/>
  </w:num>
  <w:num w:numId="10">
    <w:abstractNumId w:val="9"/>
  </w:num>
  <w:num w:numId="11">
    <w:abstractNumId w:val="11"/>
  </w:num>
  <w:num w:numId="12">
    <w:abstractNumId w:val="2"/>
  </w:num>
  <w:num w:numId="13">
    <w:abstractNumId w:val="17"/>
  </w:num>
  <w:num w:numId="14">
    <w:abstractNumId w:val="5"/>
  </w:num>
  <w:num w:numId="15">
    <w:abstractNumId w:val="20"/>
  </w:num>
  <w:num w:numId="16">
    <w:abstractNumId w:val="3"/>
  </w:num>
  <w:num w:numId="17">
    <w:abstractNumId w:val="10"/>
  </w:num>
  <w:num w:numId="18">
    <w:abstractNumId w:val="13"/>
  </w:num>
  <w:num w:numId="19">
    <w:abstractNumId w:val="1"/>
  </w:num>
  <w:num w:numId="20">
    <w:abstractNumId w:val="8"/>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296"/>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5C1"/>
    <w:rsid w:val="000B698B"/>
    <w:rsid w:val="0010075C"/>
    <w:rsid w:val="001445C9"/>
    <w:rsid w:val="00162429"/>
    <w:rsid w:val="00196A54"/>
    <w:rsid w:val="00232373"/>
    <w:rsid w:val="002A0339"/>
    <w:rsid w:val="002B7675"/>
    <w:rsid w:val="002E428C"/>
    <w:rsid w:val="00321592"/>
    <w:rsid w:val="00341778"/>
    <w:rsid w:val="0037263A"/>
    <w:rsid w:val="00385ED2"/>
    <w:rsid w:val="0046595C"/>
    <w:rsid w:val="004B39E7"/>
    <w:rsid w:val="004D2DCF"/>
    <w:rsid w:val="004E4DD2"/>
    <w:rsid w:val="004E6ADC"/>
    <w:rsid w:val="00525855"/>
    <w:rsid w:val="0052751E"/>
    <w:rsid w:val="006149F9"/>
    <w:rsid w:val="00735B1C"/>
    <w:rsid w:val="0076101A"/>
    <w:rsid w:val="007630EB"/>
    <w:rsid w:val="007666EE"/>
    <w:rsid w:val="007D5027"/>
    <w:rsid w:val="009F31EC"/>
    <w:rsid w:val="00A93056"/>
    <w:rsid w:val="00AD0A24"/>
    <w:rsid w:val="00B14C43"/>
    <w:rsid w:val="00B6122C"/>
    <w:rsid w:val="00BA495D"/>
    <w:rsid w:val="00BD75C1"/>
    <w:rsid w:val="00DC73AB"/>
    <w:rsid w:val="00DD6C7C"/>
    <w:rsid w:val="00F146DB"/>
    <w:rsid w:val="00F670F6"/>
    <w:rsid w:val="00FC6F32"/>
    <w:rsid w:val="00FF685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1EC"/>
    <w:pPr>
      <w:tabs>
        <w:tab w:val="center" w:pos="4819"/>
        <w:tab w:val="right" w:pos="9638"/>
      </w:tabs>
    </w:pPr>
  </w:style>
  <w:style w:type="character" w:customStyle="1" w:styleId="HeaderChar">
    <w:name w:val="Header Char"/>
    <w:basedOn w:val="DefaultParagraphFont"/>
    <w:link w:val="Header"/>
    <w:uiPriority w:val="99"/>
    <w:rsid w:val="009F31EC"/>
  </w:style>
  <w:style w:type="paragraph" w:styleId="Footer">
    <w:name w:val="footer"/>
    <w:basedOn w:val="Normal"/>
    <w:link w:val="FooterChar"/>
    <w:uiPriority w:val="99"/>
    <w:unhideWhenUsed/>
    <w:rsid w:val="009F31EC"/>
    <w:pPr>
      <w:tabs>
        <w:tab w:val="center" w:pos="4819"/>
        <w:tab w:val="right" w:pos="9638"/>
      </w:tabs>
    </w:pPr>
  </w:style>
  <w:style w:type="character" w:customStyle="1" w:styleId="FooterChar">
    <w:name w:val="Footer Char"/>
    <w:basedOn w:val="DefaultParagraphFont"/>
    <w:link w:val="Footer"/>
    <w:uiPriority w:val="99"/>
    <w:rsid w:val="009F31EC"/>
  </w:style>
  <w:style w:type="paragraph" w:styleId="BalloonText">
    <w:name w:val="Balloon Text"/>
    <w:basedOn w:val="Normal"/>
    <w:link w:val="BalloonTextChar"/>
    <w:uiPriority w:val="99"/>
    <w:semiHidden/>
    <w:unhideWhenUsed/>
    <w:rsid w:val="009F31EC"/>
    <w:rPr>
      <w:rFonts w:ascii="Tahoma" w:hAnsi="Tahoma" w:cs="Tahoma"/>
      <w:sz w:val="16"/>
      <w:szCs w:val="16"/>
    </w:rPr>
  </w:style>
  <w:style w:type="character" w:customStyle="1" w:styleId="BalloonTextChar">
    <w:name w:val="Balloon Text Char"/>
    <w:basedOn w:val="DefaultParagraphFont"/>
    <w:link w:val="BalloonText"/>
    <w:uiPriority w:val="99"/>
    <w:semiHidden/>
    <w:rsid w:val="009F31EC"/>
    <w:rPr>
      <w:rFonts w:ascii="Tahoma" w:hAnsi="Tahoma" w:cs="Tahoma"/>
      <w:sz w:val="16"/>
      <w:szCs w:val="16"/>
    </w:rPr>
  </w:style>
  <w:style w:type="table" w:styleId="TableGrid">
    <w:name w:val="Table Grid"/>
    <w:basedOn w:val="TableNormal"/>
    <w:uiPriority w:val="59"/>
    <w:rsid w:val="009F31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2751E"/>
    <w:pPr>
      <w:ind w:left="720"/>
      <w:contextualSpacing/>
    </w:pPr>
  </w:style>
  <w:style w:type="paragraph" w:styleId="FootnoteText">
    <w:name w:val="footnote text"/>
    <w:basedOn w:val="Normal"/>
    <w:link w:val="FootnoteTextChar"/>
    <w:uiPriority w:val="99"/>
    <w:semiHidden/>
    <w:unhideWhenUsed/>
    <w:rsid w:val="004B39E7"/>
    <w:rPr>
      <w:sz w:val="20"/>
      <w:szCs w:val="20"/>
    </w:rPr>
  </w:style>
  <w:style w:type="character" w:customStyle="1" w:styleId="FootnoteTextChar">
    <w:name w:val="Footnote Text Char"/>
    <w:basedOn w:val="DefaultParagraphFont"/>
    <w:link w:val="FootnoteText"/>
    <w:uiPriority w:val="99"/>
    <w:semiHidden/>
    <w:rsid w:val="004B39E7"/>
    <w:rPr>
      <w:sz w:val="20"/>
      <w:szCs w:val="20"/>
    </w:rPr>
  </w:style>
  <w:style w:type="character" w:styleId="FootnoteReference">
    <w:name w:val="footnote reference"/>
    <w:basedOn w:val="DefaultParagraphFont"/>
    <w:uiPriority w:val="99"/>
    <w:semiHidden/>
    <w:unhideWhenUsed/>
    <w:rsid w:val="004B39E7"/>
    <w:rPr>
      <w:vertAlign w:val="superscript"/>
    </w:rPr>
  </w:style>
  <w:style w:type="character" w:styleId="Hyperlink">
    <w:name w:val="Hyperlink"/>
    <w:basedOn w:val="DefaultParagraphFont"/>
    <w:uiPriority w:val="99"/>
    <w:unhideWhenUsed/>
    <w:rsid w:val="004B39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1EC"/>
    <w:pPr>
      <w:tabs>
        <w:tab w:val="center" w:pos="4819"/>
        <w:tab w:val="right" w:pos="9638"/>
      </w:tabs>
    </w:pPr>
  </w:style>
  <w:style w:type="character" w:customStyle="1" w:styleId="HeaderChar">
    <w:name w:val="Header Char"/>
    <w:basedOn w:val="DefaultParagraphFont"/>
    <w:link w:val="Header"/>
    <w:uiPriority w:val="99"/>
    <w:rsid w:val="009F31EC"/>
  </w:style>
  <w:style w:type="paragraph" w:styleId="Footer">
    <w:name w:val="footer"/>
    <w:basedOn w:val="Normal"/>
    <w:link w:val="FooterChar"/>
    <w:uiPriority w:val="99"/>
    <w:unhideWhenUsed/>
    <w:rsid w:val="009F31EC"/>
    <w:pPr>
      <w:tabs>
        <w:tab w:val="center" w:pos="4819"/>
        <w:tab w:val="right" w:pos="9638"/>
      </w:tabs>
    </w:pPr>
  </w:style>
  <w:style w:type="character" w:customStyle="1" w:styleId="FooterChar">
    <w:name w:val="Footer Char"/>
    <w:basedOn w:val="DefaultParagraphFont"/>
    <w:link w:val="Footer"/>
    <w:uiPriority w:val="99"/>
    <w:rsid w:val="009F31EC"/>
  </w:style>
  <w:style w:type="paragraph" w:styleId="BalloonText">
    <w:name w:val="Balloon Text"/>
    <w:basedOn w:val="Normal"/>
    <w:link w:val="BalloonTextChar"/>
    <w:uiPriority w:val="99"/>
    <w:semiHidden/>
    <w:unhideWhenUsed/>
    <w:rsid w:val="009F31EC"/>
    <w:rPr>
      <w:rFonts w:ascii="Tahoma" w:hAnsi="Tahoma" w:cs="Tahoma"/>
      <w:sz w:val="16"/>
      <w:szCs w:val="16"/>
    </w:rPr>
  </w:style>
  <w:style w:type="character" w:customStyle="1" w:styleId="BalloonTextChar">
    <w:name w:val="Balloon Text Char"/>
    <w:basedOn w:val="DefaultParagraphFont"/>
    <w:link w:val="BalloonText"/>
    <w:uiPriority w:val="99"/>
    <w:semiHidden/>
    <w:rsid w:val="009F31EC"/>
    <w:rPr>
      <w:rFonts w:ascii="Tahoma" w:hAnsi="Tahoma" w:cs="Tahoma"/>
      <w:sz w:val="16"/>
      <w:szCs w:val="16"/>
    </w:rPr>
  </w:style>
  <w:style w:type="table" w:styleId="TableGrid">
    <w:name w:val="Table Grid"/>
    <w:basedOn w:val="TableNormal"/>
    <w:uiPriority w:val="59"/>
    <w:rsid w:val="009F31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2751E"/>
    <w:pPr>
      <w:ind w:left="720"/>
      <w:contextualSpacing/>
    </w:pPr>
  </w:style>
  <w:style w:type="paragraph" w:styleId="FootnoteText">
    <w:name w:val="footnote text"/>
    <w:basedOn w:val="Normal"/>
    <w:link w:val="FootnoteTextChar"/>
    <w:uiPriority w:val="99"/>
    <w:semiHidden/>
    <w:unhideWhenUsed/>
    <w:rsid w:val="004B39E7"/>
    <w:rPr>
      <w:sz w:val="20"/>
      <w:szCs w:val="20"/>
    </w:rPr>
  </w:style>
  <w:style w:type="character" w:customStyle="1" w:styleId="FootnoteTextChar">
    <w:name w:val="Footnote Text Char"/>
    <w:basedOn w:val="DefaultParagraphFont"/>
    <w:link w:val="FootnoteText"/>
    <w:uiPriority w:val="99"/>
    <w:semiHidden/>
    <w:rsid w:val="004B39E7"/>
    <w:rPr>
      <w:sz w:val="20"/>
      <w:szCs w:val="20"/>
    </w:rPr>
  </w:style>
  <w:style w:type="character" w:styleId="FootnoteReference">
    <w:name w:val="footnote reference"/>
    <w:basedOn w:val="DefaultParagraphFont"/>
    <w:uiPriority w:val="99"/>
    <w:semiHidden/>
    <w:unhideWhenUsed/>
    <w:rsid w:val="004B39E7"/>
    <w:rPr>
      <w:vertAlign w:val="superscript"/>
    </w:rPr>
  </w:style>
  <w:style w:type="character" w:styleId="Hyperlink">
    <w:name w:val="Hyperlink"/>
    <w:basedOn w:val="DefaultParagraphFont"/>
    <w:uiPriority w:val="99"/>
    <w:unhideWhenUsed/>
    <w:rsid w:val="004B39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365">
      <w:bodyDiv w:val="1"/>
      <w:marLeft w:val="0"/>
      <w:marRight w:val="0"/>
      <w:marTop w:val="0"/>
      <w:marBottom w:val="0"/>
      <w:divBdr>
        <w:top w:val="none" w:sz="0" w:space="0" w:color="auto"/>
        <w:left w:val="none" w:sz="0" w:space="0" w:color="auto"/>
        <w:bottom w:val="none" w:sz="0" w:space="0" w:color="auto"/>
        <w:right w:val="none" w:sz="0" w:space="0" w:color="auto"/>
      </w:divBdr>
    </w:div>
    <w:div w:id="204787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3</Pages>
  <Words>5883</Words>
  <Characters>3354</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X220i</dc:creator>
  <cp:lastModifiedBy>X220i</cp:lastModifiedBy>
  <cp:revision>14</cp:revision>
  <dcterms:created xsi:type="dcterms:W3CDTF">2012-04-23T08:58:00Z</dcterms:created>
  <dcterms:modified xsi:type="dcterms:W3CDTF">2012-04-23T17:46:00Z</dcterms:modified>
</cp:coreProperties>
</file>